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CD99" w14:textId="77777777" w:rsidR="00763B2E" w:rsidRPr="009870AD" w:rsidRDefault="00763B2E" w:rsidP="00763B2E">
      <w:pPr>
        <w:jc w:val="center"/>
        <w:rPr>
          <w:b/>
          <w:bCs/>
        </w:rPr>
      </w:pPr>
      <w:r w:rsidRPr="009870AD">
        <w:rPr>
          <w:b/>
          <w:bCs/>
        </w:rPr>
        <w:t>Четыре памятки, как оперативно проверить контрагента из ЕАЭС</w:t>
      </w:r>
    </w:p>
    <w:p w14:paraId="766A2EE3" w14:textId="77777777" w:rsidR="00763B2E" w:rsidRPr="009870AD" w:rsidRDefault="00763B2E" w:rsidP="00763B2E">
      <w:pPr>
        <w:rPr>
          <w:i/>
          <w:iCs/>
        </w:rPr>
      </w:pPr>
      <w:r w:rsidRPr="009870AD">
        <w:rPr>
          <w:i/>
          <w:iCs/>
        </w:rPr>
        <w:t>Убедитесь, что у налоговой не будет претензий к репутации ваших контрагентов из ЕАЭС: инспекторы подозрительны к сделкам с неместными партнерами и требуют подтверждения их благонадежности. Вот только неясно, как проверять контрагентов из соседних стран. В каких источниках искать сведения о потенциальных партнерах из ЕАЭС, смотрите в памятках — подготовили их с практикующим юристом Ларисой Науменко и согласовали с ФНС.</w:t>
      </w:r>
    </w:p>
    <w:p w14:paraId="21081342" w14:textId="77777777" w:rsidR="00763B2E" w:rsidRPr="009870AD" w:rsidRDefault="00763B2E" w:rsidP="00763B2E">
      <w:r w:rsidRPr="009870AD">
        <w:t>Памятками поделилась, ЛАРИСА НАУМЕНКО директор Московского офиса ЦПО групп</w:t>
      </w:r>
    </w:p>
    <w:p w14:paraId="61797E86" w14:textId="77777777" w:rsidR="00763B2E" w:rsidRPr="009870AD" w:rsidRDefault="00763B2E" w:rsidP="00763B2E">
      <w:r w:rsidRPr="009870AD">
        <w:t>В России есть надежные ресурсы для проверки местных компаний и ИП — от ЕГРЮЛ и ЕГРИП до коммерческих баз. Но когда речь заходит о партнерах из ЕАЭС, информации обычно не хватает. Забирайте ссылки на источники данных для каждой страны — участницы союза и пользуйтесь ими на этапе заключения договоров. Так вы соберете необходимый минимум информации по компании, с которой собираетесь заключить сделку, и снизите риск претензий от ФНС.</w:t>
      </w:r>
    </w:p>
    <w:p w14:paraId="0CF7C0E3" w14:textId="77777777" w:rsidR="00763B2E" w:rsidRPr="009870AD" w:rsidRDefault="00763B2E" w:rsidP="00763B2E">
      <w:r w:rsidRPr="009870AD">
        <w:t>Сохраняйте информацию о потенциальных партнерах, которую удалось найти, — это подтвердит вашу должную осмотрительность. </w:t>
      </w:r>
      <w:hyperlink r:id="rId4" w:tgtFrame="_blank" w:history="1">
        <w:r w:rsidRPr="009870AD">
          <w:rPr>
            <w:rStyle w:val="ac"/>
          </w:rPr>
          <w:t>Что узнать о контрагенте, который работает менее года.</w:t>
        </w:r>
      </w:hyperlink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763B2E" w:rsidRPr="00F00DFE" w14:paraId="4034BA42" w14:textId="77777777" w:rsidTr="00B13498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7AF6EA7" w14:textId="23604D31" w:rsidR="00763B2E" w:rsidRPr="00F00DFE" w:rsidRDefault="00763B2E" w:rsidP="00B13498">
            <w:r w:rsidRPr="00FE4EEF">
              <w:rPr>
                <w:noProof/>
              </w:rPr>
              <w:drawing>
                <wp:inline distT="0" distB="0" distL="0" distR="0" wp14:anchorId="5643E7CF" wp14:editId="7131ED0F">
                  <wp:extent cx="5940425" cy="2068830"/>
                  <wp:effectExtent l="0" t="0" r="0" b="7620"/>
                  <wp:docPr id="113246780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06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DA5BA8" w14:textId="77777777" w:rsidR="00763B2E" w:rsidRPr="009870AD" w:rsidRDefault="00763B2E" w:rsidP="00763B2E">
      <w:pPr>
        <w:rPr>
          <w:b/>
          <w:bCs/>
        </w:rPr>
      </w:pPr>
      <w:r w:rsidRPr="009870AD">
        <w:rPr>
          <w:b/>
          <w:bCs/>
        </w:rPr>
        <w:t>Памятка 1. Беларусь: состав официальных сайтов похож на российский</w:t>
      </w:r>
    </w:p>
    <w:p w14:paraId="70FB0229" w14:textId="61ADF1DF" w:rsidR="00763B2E" w:rsidRPr="009870AD" w:rsidRDefault="00763B2E" w:rsidP="00763B2E">
      <w:r w:rsidRPr="009870AD">
        <w:t xml:space="preserve">В Беларуси сведения о бизнесе аккумулирует Единый государственный регистр юридических лиц и ИП (ЕГР). →egr.gov.by В нем можно узнать </w:t>
      </w:r>
      <w:proofErr w:type="spellStart"/>
      <w:r w:rsidRPr="009870AD">
        <w:t>регномер</w:t>
      </w:r>
      <w:proofErr w:type="spellEnd"/>
      <w:r w:rsidRPr="009870AD">
        <w:t xml:space="preserve"> контрагента, его статус, адрес, виды деятельности, размер уставного фонда и учредителей.</w:t>
      </w:r>
      <w:r w:rsidRPr="009870AD">
        <w:br/>
      </w:r>
      <w:r w:rsidRPr="009870AD">
        <w:br/>
      </w:r>
      <w:r w:rsidRPr="00F00DFE">
        <w:rPr>
          <w:b/>
          <w:noProof/>
        </w:rPr>
        <w:drawing>
          <wp:inline distT="0" distB="0" distL="0" distR="0" wp14:anchorId="0620CF23" wp14:editId="1A12E37D">
            <wp:extent cx="949325" cy="891540"/>
            <wp:effectExtent l="0" t="0" r="3175" b="3810"/>
            <wp:docPr id="166738284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rPr>
          <w:b/>
          <w:bCs/>
        </w:rPr>
        <w:t> Бесплатные источники информации:</w:t>
      </w:r>
      <w:r w:rsidRPr="009870AD">
        <w:br/>
        <w:t>nalog.gov.by — долги по налогам и сборам;</w:t>
      </w:r>
      <w:r w:rsidRPr="009870AD">
        <w:br/>
        <w:t>minjust.gov.by — исполнительные производства;</w:t>
      </w:r>
      <w:r w:rsidRPr="009870AD">
        <w:br/>
      </w:r>
      <w:r w:rsidRPr="009870AD">
        <w:lastRenderedPageBreak/>
        <w:t>ssf.gov.by — задолженность по взносам;</w:t>
      </w:r>
      <w:r w:rsidRPr="009870AD">
        <w:br/>
        <w:t>bankrot.gov.by — сведения о банкротстве;</w:t>
      </w:r>
      <w:r w:rsidRPr="009870AD">
        <w:br/>
        <w:t>portal.nalog.gov.by — повышенные риски совершения правонарушений.</w:t>
      </w:r>
      <w:r w:rsidRPr="009870AD">
        <w:br/>
      </w:r>
      <w:r w:rsidRPr="009870AD">
        <w:br/>
      </w:r>
      <w:r w:rsidRPr="00F00DFE">
        <w:rPr>
          <w:b/>
          <w:noProof/>
        </w:rPr>
        <w:drawing>
          <wp:inline distT="0" distB="0" distL="0" distR="0" wp14:anchorId="33B72A83" wp14:editId="01C60D95">
            <wp:extent cx="1423670" cy="833120"/>
            <wp:effectExtent l="0" t="0" r="5080" b="5080"/>
            <wp:docPr id="1322984411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rPr>
          <w:b/>
          <w:bCs/>
        </w:rPr>
        <w:t> Платные ресурсы:</w:t>
      </w:r>
      <w:r w:rsidRPr="009870AD">
        <w:br/>
        <w:t>kartoteka.by — досье на партнера по его учетному номеру плательщика (УНП) или наименованию (Ф. И. О.);</w:t>
      </w:r>
      <w:r w:rsidRPr="009870AD">
        <w:br/>
        <w:t>dazor.by — проверка контрагента по ИНН, адресу, учредителю;</w:t>
      </w:r>
      <w:r w:rsidRPr="009870AD">
        <w:br/>
        <w:t>Legat.by — автоматический сбор регистрационных, финансовых и судебных данных о компаниях и ИП.</w:t>
      </w:r>
    </w:p>
    <w:p w14:paraId="688EDFB2" w14:textId="77777777" w:rsidR="00763B2E" w:rsidRPr="009870AD" w:rsidRDefault="00763B2E" w:rsidP="00763B2E">
      <w:pPr>
        <w:rPr>
          <w:b/>
          <w:bCs/>
        </w:rPr>
      </w:pPr>
      <w:r w:rsidRPr="009870AD">
        <w:rPr>
          <w:b/>
          <w:bCs/>
        </w:rPr>
        <w:t>Памятка 2. Казахстан: важные сведения — у комитета доходов</w:t>
      </w:r>
    </w:p>
    <w:p w14:paraId="4C2892CB" w14:textId="61BA9EA8" w:rsidR="00763B2E" w:rsidRPr="009870AD" w:rsidRDefault="00763B2E" w:rsidP="00763B2E">
      <w:r w:rsidRPr="009870AD">
        <w:t>Проверить контрагента можно на сайте Комитета государственных доходов, →kgd.gov.kz в разделе «Все сервисы». Увидите, снят ли партнер с учета, есть ли у него долги, не ликвидируется ли он в данный момент.</w:t>
      </w:r>
      <w:r w:rsidRPr="009870AD">
        <w:br/>
      </w:r>
      <w:r w:rsidRPr="009870AD">
        <w:br/>
      </w:r>
      <w:r w:rsidRPr="00F00DFE">
        <w:rPr>
          <w:b/>
          <w:noProof/>
        </w:rPr>
        <w:drawing>
          <wp:inline distT="0" distB="0" distL="0" distR="0" wp14:anchorId="14E6B14B" wp14:editId="72026A72">
            <wp:extent cx="949325" cy="891540"/>
            <wp:effectExtent l="0" t="0" r="3175" b="3810"/>
            <wp:docPr id="301579744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rPr>
          <w:b/>
          <w:bCs/>
        </w:rPr>
        <w:t> Бесплатные источники информации:</w:t>
      </w:r>
      <w:r w:rsidRPr="009870AD">
        <w:br/>
        <w:t>eGov.kz — регистрационные данные по бизнес-идентификационному номеру (БИН) и статусу партнера;</w:t>
      </w:r>
      <w:r w:rsidRPr="009870AD">
        <w:br/>
        <w:t>kgd.gov.kz/</w:t>
      </w:r>
      <w:proofErr w:type="spellStart"/>
      <w:r w:rsidRPr="009870AD">
        <w:t>ru</w:t>
      </w:r>
      <w:proofErr w:type="spellEnd"/>
      <w:r w:rsidRPr="009870AD">
        <w:t>/</w:t>
      </w:r>
      <w:proofErr w:type="spellStart"/>
      <w:r w:rsidRPr="009870AD">
        <w:t>all</w:t>
      </w:r>
      <w:proofErr w:type="spellEnd"/>
      <w:r w:rsidRPr="009870AD">
        <w:t>/</w:t>
      </w:r>
      <w:proofErr w:type="spellStart"/>
      <w:r w:rsidRPr="009870AD">
        <w:t>services</w:t>
      </w:r>
      <w:proofErr w:type="spellEnd"/>
      <w:r w:rsidRPr="009870AD">
        <w:t> — информация об исполнительных производствах контрагента;</w:t>
      </w:r>
      <w:r w:rsidRPr="009870AD">
        <w:br/>
        <w:t>sud.gov.kz — судебные дела (нужна электронная подпись).</w:t>
      </w:r>
      <w:r w:rsidRPr="009870AD">
        <w:br/>
      </w:r>
      <w:r w:rsidRPr="009870AD">
        <w:br/>
      </w:r>
      <w:r w:rsidRPr="00F00DFE">
        <w:rPr>
          <w:b/>
          <w:noProof/>
        </w:rPr>
        <w:drawing>
          <wp:inline distT="0" distB="0" distL="0" distR="0" wp14:anchorId="712C4B95" wp14:editId="5FC10EF9">
            <wp:extent cx="1423670" cy="833120"/>
            <wp:effectExtent l="0" t="0" r="5080" b="5080"/>
            <wp:docPr id="579379103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rPr>
          <w:b/>
          <w:bCs/>
        </w:rPr>
        <w:t> Платные ресурсы:</w:t>
      </w:r>
      <w:r w:rsidRPr="009870AD">
        <w:br/>
        <w:t>uchet.kz, adata.kz  — логика поиска информации о контрагентах в этих базах та же, что и на российских ресурсах с досье на компании.</w:t>
      </w:r>
    </w:p>
    <w:p w14:paraId="4B945B80" w14:textId="77777777" w:rsidR="00763B2E" w:rsidRPr="009870AD" w:rsidRDefault="00763B2E" w:rsidP="00763B2E">
      <w:pPr>
        <w:rPr>
          <w:b/>
          <w:bCs/>
        </w:rPr>
      </w:pPr>
      <w:r w:rsidRPr="009870AD">
        <w:rPr>
          <w:b/>
          <w:bCs/>
        </w:rPr>
        <w:t>Памятка 3. Армения: меньше источников, но все официальные</w:t>
      </w:r>
    </w:p>
    <w:p w14:paraId="15870A9B" w14:textId="4AA2C2A4" w:rsidR="00763B2E" w:rsidRPr="009870AD" w:rsidRDefault="00763B2E" w:rsidP="00763B2E">
      <w:r w:rsidRPr="009870AD">
        <w:t xml:space="preserve">В Армении информация о компаниях и ИП доступна в основном через </w:t>
      </w:r>
      <w:proofErr w:type="spellStart"/>
      <w:r w:rsidRPr="009870AD">
        <w:t>госсайты</w:t>
      </w:r>
      <w:proofErr w:type="spellEnd"/>
      <w:r w:rsidRPr="009870AD">
        <w:t>:</w:t>
      </w:r>
      <w:r w:rsidRPr="009870AD">
        <w:br/>
        <w:t>src.am — долги по налогам и сборам;</w:t>
      </w:r>
      <w:r w:rsidRPr="009870AD">
        <w:br/>
        <w:t>e-register.am — реестр компаний (аналог ЕГРЮЛ);</w:t>
      </w:r>
      <w:r w:rsidRPr="009870AD">
        <w:br/>
        <w:t>petekamutner.am — сайт налоговой службы Республики Армении — данные о компаниях и ИП.</w:t>
      </w:r>
      <w:r w:rsidRPr="009870AD">
        <w:br/>
      </w:r>
      <w:r w:rsidRPr="009870AD">
        <w:br/>
      </w:r>
      <w:r w:rsidRPr="00FE4EEF">
        <w:rPr>
          <w:noProof/>
        </w:rPr>
        <w:lastRenderedPageBreak/>
        <w:drawing>
          <wp:inline distT="0" distB="0" distL="0" distR="0" wp14:anchorId="4B5C7BF4" wp14:editId="428D87E2">
            <wp:extent cx="949325" cy="1053465"/>
            <wp:effectExtent l="0" t="0" r="3175" b="0"/>
            <wp:docPr id="9719825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Частных ресурсов практически нет, но официальных данных хватит для проверки благонадежности партнера. Главное внимательно их изучить и сохранить собранную информацию.</w:t>
      </w:r>
    </w:p>
    <w:p w14:paraId="78AE8C42" w14:textId="77777777" w:rsidR="00763B2E" w:rsidRPr="009870AD" w:rsidRDefault="00763B2E" w:rsidP="00763B2E">
      <w:pPr>
        <w:rPr>
          <w:b/>
          <w:bCs/>
        </w:rPr>
      </w:pPr>
      <w:r w:rsidRPr="009870AD">
        <w:rPr>
          <w:b/>
          <w:bCs/>
        </w:rPr>
        <w:t>Памятка 4. Киргизия: есть два реестра и один удобный агрегатор</w:t>
      </w:r>
    </w:p>
    <w:p w14:paraId="5B47C9C5" w14:textId="39747D33" w:rsidR="00763B2E" w:rsidRPr="009870AD" w:rsidRDefault="00763B2E" w:rsidP="00763B2E">
      <w:r w:rsidRPr="00FE4EEF">
        <w:rPr>
          <w:noProof/>
        </w:rPr>
        <w:drawing>
          <wp:inline distT="0" distB="0" distL="0" distR="0" wp14:anchorId="360C1DFA" wp14:editId="79291E18">
            <wp:extent cx="474345" cy="347345"/>
            <wp:effectExtent l="0" t="0" r="1905" b="0"/>
            <wp:docPr id="23220461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Информацию о контрагентах можно найти на следующих ресурсах:</w:t>
      </w:r>
      <w:r w:rsidRPr="009870AD">
        <w:br/>
        <w:t>minjust.gov.kg — реестр компаний: учредители, адреса, виды деятельности, доверенности и др.</w:t>
      </w:r>
      <w:r w:rsidRPr="009870AD">
        <w:br/>
        <w:t>osoo.kg — объединяет данные Минюста, Минфина и портала госзакупок, показывает связи между компаниями и учредителями.</w:t>
      </w:r>
      <w:r w:rsidRPr="009870AD">
        <w:br/>
        <w:t>sti.gov.kg — электронные документы с данными о контрагенте и его налогах.</w:t>
      </w:r>
    </w:p>
    <w:p w14:paraId="6C1465E7" w14:textId="77777777" w:rsidR="00763B2E" w:rsidRPr="009870AD" w:rsidRDefault="00763B2E" w:rsidP="00763B2E">
      <w:pPr>
        <w:rPr>
          <w:b/>
          <w:bCs/>
        </w:rPr>
      </w:pPr>
      <w:r w:rsidRPr="009870AD">
        <w:rPr>
          <w:b/>
          <w:bCs/>
        </w:rPr>
        <w:t>Проверяйте партнеров из ЕАЭС одновременно по двум направлениям.</w:t>
      </w:r>
      <w:r w:rsidRPr="009870AD">
        <w:rPr>
          <w:b/>
          <w:bCs/>
        </w:rPr>
        <w:br/>
        <w:t>Первое — правовой статус партнера. Проверьте регистрационные данные, наличие судебных споров, совпадения адресов и учредителей.</w:t>
      </w:r>
      <w:r w:rsidRPr="009870AD">
        <w:rPr>
          <w:b/>
          <w:bCs/>
        </w:rPr>
        <w:br/>
        <w:t>Второе — финансовая устойчивость: изучите долги, банкротства, исполнительные производства</w:t>
      </w:r>
    </w:p>
    <w:p w14:paraId="659638DD" w14:textId="77777777" w:rsidR="00763B2E" w:rsidRPr="00D03CBE" w:rsidRDefault="00763B2E" w:rsidP="00763B2E">
      <w:pPr>
        <w:jc w:val="right"/>
      </w:pPr>
      <w:r>
        <w:t>Журнал «Главбух» №23, 2025</w:t>
      </w:r>
    </w:p>
    <w:p w14:paraId="4F10707E" w14:textId="77777777" w:rsidR="00763B2E" w:rsidRPr="00D03CBE" w:rsidRDefault="00763B2E" w:rsidP="00763B2E">
      <w:pPr>
        <w:rPr>
          <w:lang w:val="en-US"/>
        </w:rPr>
      </w:pPr>
    </w:p>
    <w:p w14:paraId="61BE983E" w14:textId="01256B8B" w:rsidR="00173540" w:rsidRPr="00763B2E" w:rsidRDefault="00173540" w:rsidP="00763B2E"/>
    <w:sectPr w:rsidR="00173540" w:rsidRPr="0076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87B70"/>
    <w:rsid w:val="001063E0"/>
    <w:rsid w:val="00173540"/>
    <w:rsid w:val="001A4AC3"/>
    <w:rsid w:val="004173D8"/>
    <w:rsid w:val="005F22A4"/>
    <w:rsid w:val="00686C03"/>
    <w:rsid w:val="0073202A"/>
    <w:rsid w:val="00763B2E"/>
    <w:rsid w:val="007D19F8"/>
    <w:rsid w:val="008341C0"/>
    <w:rsid w:val="00A43B77"/>
    <w:rsid w:val="00A95C79"/>
    <w:rsid w:val="00AE3A72"/>
    <w:rsid w:val="00BD5436"/>
    <w:rsid w:val="00BF3DB2"/>
    <w:rsid w:val="00DD6A5F"/>
    <w:rsid w:val="00DF1FA1"/>
    <w:rsid w:val="00EA1B07"/>
    <w:rsid w:val="00EF3844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e.glavbukh.ru/1164278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2025-12-16T07:40:00Z</dcterms:created>
  <dcterms:modified xsi:type="dcterms:W3CDTF">2025-12-16T07:40:00Z</dcterms:modified>
</cp:coreProperties>
</file>